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72" w:rsidRPr="00997EE6" w:rsidRDefault="00801C72" w:rsidP="00801C72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801C72" w:rsidRPr="006D70D8" w:rsidRDefault="00801C72" w:rsidP="00801C72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:rsidR="00801C72" w:rsidRPr="006D70D8" w:rsidRDefault="00801C72" w:rsidP="00801C72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801C72" w:rsidRPr="006D70D8" w:rsidRDefault="00801C72" w:rsidP="00801C72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801C72" w:rsidRPr="006D70D8" w:rsidRDefault="00801C72" w:rsidP="00801C72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801C72" w:rsidRPr="006D70D8" w:rsidRDefault="00801C72" w:rsidP="00801C72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801C72" w:rsidRPr="006D70D8" w:rsidRDefault="00801C72" w:rsidP="00801C72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801C72" w:rsidRPr="006D70D8" w:rsidRDefault="00801C72" w:rsidP="00801C72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801C72" w:rsidRPr="006D70D8" w:rsidRDefault="00801C72" w:rsidP="00801C72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801C72" w:rsidRPr="006D70D8" w:rsidRDefault="00801C72" w:rsidP="00801C72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801C72" w:rsidRPr="006D70D8" w:rsidRDefault="00801C72" w:rsidP="00801C72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801C72" w:rsidRPr="006D70D8" w:rsidRDefault="00801C72" w:rsidP="00801C72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801C72" w:rsidRPr="006D70D8" w:rsidRDefault="00801C72" w:rsidP="00801C72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801C72" w:rsidRPr="006D70D8" w:rsidRDefault="00801C72" w:rsidP="00801C72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801C72" w:rsidRPr="006D70D8" w:rsidRDefault="00801C72" w:rsidP="00801C72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801C72" w:rsidRPr="006D70D8" w:rsidRDefault="00801C72" w:rsidP="00801C72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801C72" w:rsidRPr="006D70D8" w:rsidRDefault="00801C72" w:rsidP="00801C72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801C72" w:rsidRPr="006D70D8" w:rsidRDefault="00801C72" w:rsidP="00801C72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801C72" w:rsidRPr="006D70D8" w:rsidRDefault="00801C72" w:rsidP="00801C72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801C72" w:rsidRPr="006D70D8" w:rsidRDefault="00801C72" w:rsidP="00801C72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801C72" w:rsidRPr="006D70D8" w:rsidRDefault="00801C72" w:rsidP="00801C72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801C72" w:rsidRPr="006D70D8" w:rsidRDefault="00801C72" w:rsidP="00801C72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lastRenderedPageBreak/>
        <w:t>3. Rješavanje problema:</w:t>
      </w:r>
    </w:p>
    <w:p w:rsidR="00801C72" w:rsidRPr="006D70D8" w:rsidRDefault="00801C72" w:rsidP="00801C72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801C72" w:rsidRPr="006D70D8" w:rsidRDefault="00801C72" w:rsidP="00801C72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801C72" w:rsidRPr="006D70D8" w:rsidRDefault="00801C72" w:rsidP="00801C72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801C72" w:rsidRPr="006D70D8" w:rsidRDefault="00801C72" w:rsidP="00801C72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801C72" w:rsidRPr="006D70D8" w:rsidRDefault="00801C72" w:rsidP="00801C72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801C72" w:rsidRPr="006D70D8" w:rsidRDefault="00801C72" w:rsidP="00801C72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801C72" w:rsidRPr="006D70D8" w:rsidRDefault="00801C72" w:rsidP="00801C72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801C72" w:rsidRPr="006D70D8" w:rsidRDefault="00801C72" w:rsidP="00801C72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801C72" w:rsidRPr="006D70D8" w:rsidRDefault="00801C72" w:rsidP="00801C72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801C72" w:rsidRPr="006D70D8" w:rsidRDefault="00801C72" w:rsidP="00801C72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801C72" w:rsidRPr="006D70D8" w:rsidRDefault="00801C72" w:rsidP="00801C72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801C72" w:rsidRPr="006D70D8" w:rsidRDefault="00801C72" w:rsidP="00801C72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p w:rsidR="00B7778E" w:rsidRPr="006D0648" w:rsidRDefault="00B7778E" w:rsidP="00B7778E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</w:t>
      </w:r>
      <w:r>
        <w:rPr>
          <w:rFonts w:cstheme="minorHAnsi"/>
          <w:b/>
          <w:sz w:val="24"/>
        </w:rPr>
        <w:t>vrednovanje</w:t>
      </w:r>
      <w:bookmarkStart w:id="0" w:name="_GoBack"/>
      <w:bookmarkEnd w:id="0"/>
      <w:r w:rsidRPr="006D0648">
        <w:rPr>
          <w:rFonts w:cstheme="minorHAnsi"/>
          <w:b/>
          <w:sz w:val="24"/>
        </w:rPr>
        <w:t xml:space="preserve"> pisanih provjera </w:t>
      </w:r>
      <w:r>
        <w:rPr>
          <w:rFonts w:cstheme="minorHAnsi"/>
          <w:b/>
          <w:sz w:val="24"/>
        </w:rPr>
        <w:t>– promjenjivo ovisno o težini i obimu gradiva u svakoj pojedinoj provjeri</w:t>
      </w:r>
    </w:p>
    <w:p w:rsidR="00801C72" w:rsidRDefault="00801C72" w:rsidP="004B566A">
      <w:pPr>
        <w:jc w:val="center"/>
      </w:pPr>
    </w:p>
    <w:p w:rsidR="00801C72" w:rsidRDefault="00801C72" w:rsidP="004B566A">
      <w:pPr>
        <w:jc w:val="center"/>
      </w:pPr>
    </w:p>
    <w:tbl>
      <w:tblPr>
        <w:tblStyle w:val="Reetkatablice1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7778E" w:rsidRPr="00B7778E" w:rsidTr="00B777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7778E" w:rsidRPr="00B7778E" w:rsidRDefault="00B7778E" w:rsidP="00B7778E">
            <w:pPr>
              <w:jc w:val="center"/>
              <w:rPr>
                <w:rFonts w:cs="Calibri"/>
                <w:b/>
              </w:rPr>
            </w:pPr>
            <w:r w:rsidRPr="00B7778E">
              <w:rPr>
                <w:rFonts w:cs="Calibri"/>
                <w:b/>
              </w:rPr>
              <w:t>POSTOTAK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B7778E" w:rsidRPr="00B7778E" w:rsidRDefault="00B7778E" w:rsidP="00B7778E">
            <w:pPr>
              <w:jc w:val="center"/>
              <w:rPr>
                <w:rFonts w:cs="Calibri"/>
                <w:b/>
              </w:rPr>
            </w:pPr>
            <w:r w:rsidRPr="00B7778E">
              <w:rPr>
                <w:rFonts w:cs="Calibri"/>
                <w:b/>
              </w:rPr>
              <w:t>OCJENA</w:t>
            </w:r>
          </w:p>
        </w:tc>
      </w:tr>
      <w:tr w:rsidR="00B7778E" w:rsidRPr="00B7778E" w:rsidTr="00B777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E" w:rsidRPr="00B7778E" w:rsidRDefault="00B7778E" w:rsidP="00B7778E">
            <w:pPr>
              <w:jc w:val="center"/>
              <w:rPr>
                <w:rFonts w:cs="Calibri"/>
              </w:rPr>
            </w:pPr>
            <w:r w:rsidRPr="00B7778E">
              <w:rPr>
                <w:rFonts w:cs="Calibri"/>
              </w:rPr>
              <w:t>0  % – 50 %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E" w:rsidRPr="00B7778E" w:rsidRDefault="00B7778E" w:rsidP="00B7778E">
            <w:pPr>
              <w:jc w:val="center"/>
              <w:rPr>
                <w:rFonts w:cs="Calibri"/>
              </w:rPr>
            </w:pPr>
            <w:r w:rsidRPr="00B7778E">
              <w:rPr>
                <w:rFonts w:cs="Calibri"/>
              </w:rPr>
              <w:t>nedovoljan (1)</w:t>
            </w:r>
          </w:p>
        </w:tc>
      </w:tr>
      <w:tr w:rsidR="00B7778E" w:rsidRPr="00B7778E" w:rsidTr="00B777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E" w:rsidRPr="00B7778E" w:rsidRDefault="00B7778E" w:rsidP="00B7778E">
            <w:pPr>
              <w:jc w:val="center"/>
              <w:rPr>
                <w:rFonts w:cs="Calibri"/>
              </w:rPr>
            </w:pPr>
            <w:r w:rsidRPr="00B7778E">
              <w:rPr>
                <w:rFonts w:cs="Calibri"/>
              </w:rPr>
              <w:t>51 %  - 64 %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E" w:rsidRPr="00B7778E" w:rsidRDefault="00B7778E" w:rsidP="00B7778E">
            <w:pPr>
              <w:jc w:val="center"/>
              <w:rPr>
                <w:rFonts w:cs="Calibri"/>
              </w:rPr>
            </w:pPr>
            <w:r w:rsidRPr="00B7778E">
              <w:rPr>
                <w:rFonts w:cs="Calibri"/>
              </w:rPr>
              <w:t>dovoljan (2)</w:t>
            </w:r>
          </w:p>
        </w:tc>
      </w:tr>
      <w:tr w:rsidR="00B7778E" w:rsidRPr="00B7778E" w:rsidTr="00B777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E" w:rsidRPr="00B7778E" w:rsidRDefault="00B7778E" w:rsidP="00B7778E">
            <w:pPr>
              <w:jc w:val="center"/>
              <w:rPr>
                <w:rFonts w:cs="Calibri"/>
              </w:rPr>
            </w:pPr>
            <w:r w:rsidRPr="00B7778E">
              <w:rPr>
                <w:rFonts w:cs="Calibri"/>
              </w:rPr>
              <w:t>65 % - 84 %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E" w:rsidRPr="00B7778E" w:rsidRDefault="00B7778E" w:rsidP="00B7778E">
            <w:pPr>
              <w:jc w:val="center"/>
              <w:rPr>
                <w:rFonts w:cs="Calibri"/>
              </w:rPr>
            </w:pPr>
            <w:r w:rsidRPr="00B7778E">
              <w:rPr>
                <w:rFonts w:cs="Calibri"/>
              </w:rPr>
              <w:t>dobar (3)</w:t>
            </w:r>
          </w:p>
        </w:tc>
      </w:tr>
      <w:tr w:rsidR="00B7778E" w:rsidRPr="00B7778E" w:rsidTr="00B777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E" w:rsidRPr="00B7778E" w:rsidRDefault="00B7778E" w:rsidP="00B7778E">
            <w:pPr>
              <w:jc w:val="center"/>
              <w:rPr>
                <w:rFonts w:cs="Calibri"/>
              </w:rPr>
            </w:pPr>
            <w:r w:rsidRPr="00B7778E">
              <w:rPr>
                <w:rFonts w:cs="Calibri"/>
              </w:rPr>
              <w:t>85% - 92 %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E" w:rsidRPr="00B7778E" w:rsidRDefault="00B7778E" w:rsidP="00B7778E">
            <w:pPr>
              <w:jc w:val="center"/>
              <w:rPr>
                <w:rFonts w:cs="Calibri"/>
              </w:rPr>
            </w:pPr>
            <w:r w:rsidRPr="00B7778E">
              <w:rPr>
                <w:rFonts w:cs="Calibri"/>
              </w:rPr>
              <w:t>vrlo dobar (4)</w:t>
            </w:r>
          </w:p>
        </w:tc>
      </w:tr>
      <w:tr w:rsidR="00B7778E" w:rsidRPr="00B7778E" w:rsidTr="00B777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E" w:rsidRPr="00B7778E" w:rsidRDefault="00B7778E" w:rsidP="00B7778E">
            <w:pPr>
              <w:jc w:val="center"/>
              <w:rPr>
                <w:rFonts w:cs="Calibri"/>
              </w:rPr>
            </w:pPr>
            <w:r w:rsidRPr="00B7778E">
              <w:rPr>
                <w:rFonts w:cs="Calibri"/>
              </w:rPr>
              <w:t>93% - 100 %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8E" w:rsidRPr="00B7778E" w:rsidRDefault="00B7778E" w:rsidP="00B7778E">
            <w:pPr>
              <w:jc w:val="center"/>
              <w:rPr>
                <w:rFonts w:cs="Calibri"/>
              </w:rPr>
            </w:pPr>
            <w:r w:rsidRPr="00B7778E">
              <w:rPr>
                <w:rFonts w:cs="Calibri"/>
              </w:rPr>
              <w:t>odličan (5)</w:t>
            </w:r>
          </w:p>
        </w:tc>
      </w:tr>
    </w:tbl>
    <w:p w:rsidR="00801C72" w:rsidRDefault="00801C72" w:rsidP="004B566A">
      <w:pPr>
        <w:jc w:val="center"/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801C72" w:rsidRPr="00B4176C" w:rsidTr="007431D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01C72" w:rsidRPr="007867DF" w:rsidRDefault="00801C72" w:rsidP="007431D8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801C72" w:rsidRPr="00B4176C" w:rsidTr="007431D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01C72" w:rsidRPr="00EF4F54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01C72" w:rsidRPr="00B4176C" w:rsidTr="007431D8">
        <w:tc>
          <w:tcPr>
            <w:tcW w:w="2411" w:type="dxa"/>
            <w:tcBorders>
              <w:right w:val="double" w:sz="12" w:space="0" w:color="auto"/>
            </w:tcBorders>
          </w:tcPr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801C72" w:rsidRPr="00FE63C6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801C72" w:rsidRPr="00FF420F" w:rsidRDefault="00801C72" w:rsidP="007431D8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:rsidR="00801C72" w:rsidRPr="00FF420F" w:rsidRDefault="00801C72" w:rsidP="007431D8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:rsidR="00801C72" w:rsidRPr="00FF420F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:rsidR="00801C72" w:rsidRPr="00FF420F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801C72" w:rsidRPr="00B4176C" w:rsidTr="007431D8">
        <w:tc>
          <w:tcPr>
            <w:tcW w:w="2411" w:type="dxa"/>
            <w:tcBorders>
              <w:right w:val="double" w:sz="12" w:space="0" w:color="auto"/>
            </w:tcBorders>
          </w:tcPr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801C72" w:rsidRPr="00FE63C6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801C72" w:rsidRPr="00FF420F" w:rsidRDefault="00801C72" w:rsidP="007431D8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:rsidR="00801C72" w:rsidRPr="00FF420F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801C72" w:rsidRPr="00B4176C" w:rsidTr="007431D8">
        <w:tc>
          <w:tcPr>
            <w:tcW w:w="2411" w:type="dxa"/>
            <w:tcBorders>
              <w:right w:val="double" w:sz="12" w:space="0" w:color="auto"/>
            </w:tcBorders>
          </w:tcPr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:rsidR="00801C72" w:rsidRPr="00FF420F" w:rsidRDefault="00801C72" w:rsidP="007431D8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801C72" w:rsidRPr="00FE63C6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:rsidR="00801C72" w:rsidRPr="00FF420F" w:rsidRDefault="00801C72" w:rsidP="007431D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:rsidR="00801C72" w:rsidRPr="00FF420F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Default="00801C72" w:rsidP="007431D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Pr="00FF420F">
              <w:rPr>
                <w:rFonts w:cstheme="minorHAnsi"/>
                <w:sz w:val="24"/>
              </w:rPr>
              <w:t>, ispravno ih koristi uz stalna podsjećanja.</w:t>
            </w:r>
          </w:p>
          <w:p w:rsidR="00801C72" w:rsidRPr="00FF420F" w:rsidRDefault="00801C72" w:rsidP="007431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801C72" w:rsidRPr="00B4176C" w:rsidTr="007431D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FE63C6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:rsidR="00801C72" w:rsidRPr="00FE63C6" w:rsidRDefault="00801C72" w:rsidP="007431D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801C72" w:rsidRPr="00FE63C6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:rsidR="00801C72" w:rsidRPr="00FF420F" w:rsidRDefault="00801C72" w:rsidP="007431D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FE63C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:rsidR="00801C72" w:rsidRPr="00FE63C6" w:rsidRDefault="00801C72" w:rsidP="007431D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FE63C6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FF420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801C72" w:rsidRPr="00B868E1" w:rsidTr="007431D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1C72" w:rsidRPr="00B868E1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01C72" w:rsidRPr="00B4176C" w:rsidTr="007431D8">
        <w:tc>
          <w:tcPr>
            <w:tcW w:w="2411" w:type="dxa"/>
            <w:tcBorders>
              <w:right w:val="double" w:sz="12" w:space="0" w:color="auto"/>
            </w:tcBorders>
          </w:tcPr>
          <w:p w:rsidR="00801C72" w:rsidRPr="004E249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mentalno zbraja i oduzima u skupu brojeva do 100</w:t>
            </w:r>
          </w:p>
          <w:p w:rsidR="00801C72" w:rsidRPr="004E249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4E249A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400C70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vezu među računskim operacijama</w:t>
            </w:r>
          </w:p>
          <w:p w:rsidR="00801C72" w:rsidRPr="009D4AF0" w:rsidRDefault="00801C72" w:rsidP="007431D8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400C70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400C70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:rsidR="00801C72" w:rsidRPr="00400C70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400C70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400C70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400C70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801C72" w:rsidRPr="00400C70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801C72" w:rsidRPr="00400C70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801C72" w:rsidRPr="00B4176C" w:rsidTr="007431D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1C72" w:rsidRPr="007867DF" w:rsidRDefault="00801C72" w:rsidP="007431D8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01C72" w:rsidRPr="00B4176C" w:rsidTr="007431D8"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400C70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801C72" w:rsidRPr="00B4176C" w:rsidTr="007431D8"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:rsidR="00801C72" w:rsidRPr="00F617F5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400C70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801C72" w:rsidRPr="00B4176C" w:rsidTr="007431D8"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:rsidR="00801C72" w:rsidRPr="00F617F5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400C70" w:rsidRDefault="00801C72" w:rsidP="007431D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:rsidR="00801C72" w:rsidRPr="00F617F5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:rsidR="00801C72" w:rsidRPr="00F617F5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te ih grafički obilježava, tekstualne zadatke u kojima se ti matematički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F617F5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:rsidR="00801C72" w:rsidRPr="00F617F5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F617F5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801C72" w:rsidRPr="002E17EC" w:rsidRDefault="00801C72" w:rsidP="007431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F617F5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C67101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svojstvo </w:t>
            </w:r>
            <w:proofErr w:type="spellStart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:rsidR="00801C72" w:rsidRPr="002E17EC" w:rsidRDefault="00801C72" w:rsidP="007431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:rsidR="00801C72" w:rsidRPr="002E17E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2E17EC" w:rsidRDefault="00801C72" w:rsidP="007431D8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801C72" w:rsidRPr="002E17EC" w:rsidRDefault="00801C72" w:rsidP="007431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801C72" w:rsidRPr="002E17EC" w:rsidRDefault="00801C72" w:rsidP="007431D8">
            <w:pPr>
              <w:rPr>
                <w:sz w:val="24"/>
                <w:szCs w:val="24"/>
              </w:rPr>
            </w:pPr>
          </w:p>
        </w:tc>
      </w:tr>
      <w:tr w:rsidR="00801C72" w:rsidRPr="00B4176C" w:rsidTr="007431D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801C72" w:rsidRPr="00F617F5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801C72" w:rsidRPr="002E17EC" w:rsidRDefault="00801C72" w:rsidP="007431D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01C72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:rsidR="00801C72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801C72" w:rsidRPr="00B4176C" w:rsidTr="007431D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01C72" w:rsidRPr="00EF4F54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01C72" w:rsidRPr="00B4176C" w:rsidTr="007431D8"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801C72" w:rsidRPr="00B4176C" w:rsidTr="007431D8">
        <w:tc>
          <w:tcPr>
            <w:tcW w:w="2411" w:type="dxa"/>
            <w:tcBorders>
              <w:right w:val="double" w:sz="12" w:space="0" w:color="auto"/>
            </w:tcBorders>
          </w:tcPr>
          <w:p w:rsidR="00801C72" w:rsidRPr="00B4176C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:rsidR="00801C72" w:rsidRPr="00797508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  <w:tr w:rsidR="00801C72" w:rsidRPr="00B4176C" w:rsidTr="007431D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01C72" w:rsidRPr="00EF4F54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01C72" w:rsidRPr="00B4176C" w:rsidTr="007431D8"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usvojene matematičke spoznaje o brojevima, računskim operacijama i njihovim svojstvima 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usvojene matematičke spoznaje o brojevima, računskim operacijama i njihovim 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i analizira jednostavniji problem, planira njegovo rješavanje odabirom odgovarajućih matematičkih pojmova 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postupaka, rješava ga i provjerava rezultat.</w:t>
            </w:r>
          </w:p>
        </w:tc>
        <w:tc>
          <w:tcPr>
            <w:tcW w:w="2835" w:type="dxa"/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i analizira matematički problem, planira njegovo rješavanje odabirom odgovarajućih matematičkih pojmova i postupaka, točno ga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 i samostalno provjerava rezultat.</w:t>
            </w:r>
          </w:p>
        </w:tc>
      </w:tr>
      <w:tr w:rsidR="00801C72" w:rsidRPr="00B4176C" w:rsidTr="007431D8">
        <w:tc>
          <w:tcPr>
            <w:tcW w:w="16019" w:type="dxa"/>
            <w:gridSpan w:val="6"/>
            <w:shd w:val="clear" w:color="auto" w:fill="C5E0B3" w:themeFill="accent6" w:themeFillTint="66"/>
          </w:tcPr>
          <w:p w:rsidR="00801C72" w:rsidRPr="004C209A" w:rsidRDefault="00801C72" w:rsidP="007431D8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801C72" w:rsidRPr="00B4176C" w:rsidTr="007431D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1C72" w:rsidRPr="004E7421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01C72" w:rsidRPr="00AD3CF7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pojava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715204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AD3CF7" w:rsidRDefault="00801C72" w:rsidP="007431D8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AD3CF7" w:rsidRDefault="00801C72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AD3CF7" w:rsidRDefault="00801C72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801C72" w:rsidRPr="00AD3CF7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EF4F54" w:rsidRDefault="00801C72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801C72" w:rsidRPr="00AD3CF7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EF4F54" w:rsidRDefault="00801C72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801C72" w:rsidRPr="00AD3CF7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:rsidR="00801C72" w:rsidRPr="00AD3CF7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715204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715204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715204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AD3CF7" w:rsidRDefault="00801C72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01C72" w:rsidRPr="00B4176C" w:rsidTr="007431D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1C72" w:rsidRPr="004E7421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01C72" w:rsidRPr="00AD3CF7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AD3CF7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:rsidR="00801C72" w:rsidRPr="00AD3CF7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801C72" w:rsidRPr="00AD3CF7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:rsidR="00801C72" w:rsidRPr="00AD3CF7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801C72" w:rsidRPr="00AD3CF7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:rsidR="00801C72" w:rsidRPr="00AD3CF7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801C72" w:rsidRPr="00B4176C" w:rsidTr="007431D8">
        <w:tc>
          <w:tcPr>
            <w:tcW w:w="16019" w:type="dxa"/>
            <w:gridSpan w:val="6"/>
            <w:shd w:val="clear" w:color="auto" w:fill="C5E0B3" w:themeFill="accent6" w:themeFillTint="66"/>
          </w:tcPr>
          <w:p w:rsidR="00801C72" w:rsidRPr="00D4208D" w:rsidRDefault="00801C72" w:rsidP="007431D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801C72" w:rsidRPr="00F372ED" w:rsidTr="007431D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1C72" w:rsidRPr="00F372ED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01C72" w:rsidRPr="00B4176C" w:rsidTr="007431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801C72" w:rsidRPr="00B4176C" w:rsidTr="007431D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801C72" w:rsidRDefault="00801C72" w:rsidP="007431D8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801C72" w:rsidRPr="00B4176C" w:rsidTr="007431D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801C72" w:rsidRDefault="00801C72" w:rsidP="007431D8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801C72" w:rsidRPr="00B4176C" w:rsidTr="007431D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801C72" w:rsidRDefault="00801C72" w:rsidP="007431D8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01C72" w:rsidRPr="00B4176C" w:rsidTr="007431D8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801C72" w:rsidRDefault="00801C72" w:rsidP="007431D8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01C72" w:rsidRPr="00B4176C" w:rsidTr="007431D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801C72" w:rsidRPr="00B4176C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801C72" w:rsidRDefault="00801C72" w:rsidP="007431D8">
            <w:r w:rsidRPr="00EA7216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bridove geometrijskih tijela i 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konkretan grafički prikaz ili model određuje da su dužine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Određuje bridove geometrijskih tijela i stranice geometrijskih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kao dužine, njihov suodnos ne prikazuje matematičkim jezikom.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Određuje bridove geometrijskih tijela i stranice geometrijskih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međusobni odnos dužina na geometrijskim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likovima i tijelima matematičkim jezikom.</w:t>
            </w:r>
          </w:p>
        </w:tc>
      </w:tr>
      <w:tr w:rsidR="00801C72" w:rsidRPr="00F372ED" w:rsidTr="007431D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1C72" w:rsidRPr="00F372ED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01C72" w:rsidRPr="00B4176C" w:rsidTr="007431D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B4176C" w:rsidTr="007431D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:rsidR="00801C72" w:rsidRPr="007E1D2A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801C72" w:rsidRPr="00797508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  <w:tr w:rsidR="00801C72" w:rsidRPr="00B4176C" w:rsidTr="007431D8">
        <w:tc>
          <w:tcPr>
            <w:tcW w:w="16019" w:type="dxa"/>
            <w:gridSpan w:val="6"/>
            <w:shd w:val="clear" w:color="auto" w:fill="C5E0B3" w:themeFill="accent6" w:themeFillTint="66"/>
          </w:tcPr>
          <w:p w:rsidR="00801C72" w:rsidRPr="00823DBD" w:rsidRDefault="00801C72" w:rsidP="007431D8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801C72" w:rsidRPr="00823DBD" w:rsidTr="007431D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E82EC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:rsidR="00801C72" w:rsidRPr="00E82ECC" w:rsidRDefault="00801C72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801C72" w:rsidRPr="00E82EC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:rsidR="00801C72" w:rsidRPr="00E82ECC" w:rsidRDefault="00801C72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801C72" w:rsidRPr="00E82EC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:rsidR="00801C72" w:rsidRPr="00E82ECC" w:rsidRDefault="00801C72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801C72" w:rsidRPr="00E82EC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:rsidR="00801C72" w:rsidRPr="00E82ECC" w:rsidRDefault="00801C72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E82ECC" w:rsidRDefault="00801C72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801C72" w:rsidRPr="00E82EC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:rsidR="00801C72" w:rsidRPr="00E82ECC" w:rsidRDefault="00801C72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:rsidR="00801C72" w:rsidRPr="004C370D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656190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:rsidR="00801C72" w:rsidRPr="00E82ECC" w:rsidRDefault="00801C72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:rsidR="00801C72" w:rsidRPr="00E82ECC" w:rsidRDefault="00801C72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801C72" w:rsidRPr="00E82ECC" w:rsidRDefault="00801C72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801C72" w:rsidRPr="00AD4355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1C72" w:rsidRPr="00E82ECC" w:rsidRDefault="00801C72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C72" w:rsidRPr="00E82EC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1C72" w:rsidRPr="00E82ECC" w:rsidRDefault="00801C72" w:rsidP="007431D8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1C72" w:rsidRPr="004C370D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801C72" w:rsidRPr="00823DBD" w:rsidTr="007431D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jedinične dužine za mjerenje dužine i njihov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oznaje jedinične dužine za mjerenje dužine i njihov međusobni 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Poznaje jedinične dužine za mjerenje dužine, ne uočava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međusobni odnos metra i centimetra.</w:t>
            </w:r>
          </w:p>
          <w:p w:rsidR="00801C72" w:rsidRPr="00F34E2A" w:rsidRDefault="00801C72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Poznaje jedinične dužine za mjerenje dužine, uočava međusobni odnos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metra i centimetra tek uz pomoć učitelja.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objašnjava jedinične dužine za mjerenje dužine, procjenjuje  međusobni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odnos metra i centimetra.</w:t>
            </w: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Dovodi u vezu jedinične dužine za mjerenje dužine, tumači međusobni odnos metra i centimetra.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63388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:rsidR="00801C72" w:rsidRPr="00F34E2A" w:rsidRDefault="00801C72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:rsidR="00801C72" w:rsidRPr="00F34E2A" w:rsidRDefault="00801C72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:rsidR="00801C72" w:rsidRPr="00F34E2A" w:rsidRDefault="00801C72" w:rsidP="007431D8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:rsidR="00801C72" w:rsidRPr="00CB2ED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CB2ED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CB2ED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:rsidR="00801C72" w:rsidRPr="00E82EC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823DBD" w:rsidTr="007431D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:rsidR="00801C72" w:rsidRPr="00F34E2A" w:rsidRDefault="00801C72" w:rsidP="007431D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E82EC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FF3DAF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:rsidR="00801C72" w:rsidRPr="00E82ECC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801C72" w:rsidRPr="00B4176C" w:rsidTr="007431D8">
        <w:tc>
          <w:tcPr>
            <w:tcW w:w="16019" w:type="dxa"/>
            <w:gridSpan w:val="6"/>
            <w:shd w:val="clear" w:color="auto" w:fill="C5E0B3" w:themeFill="accent6" w:themeFillTint="66"/>
          </w:tcPr>
          <w:p w:rsidR="00801C72" w:rsidRPr="003B1DB9" w:rsidRDefault="00801C72" w:rsidP="007431D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vnim tablicama ili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Matematičke pojmove prikazuje isključivo crtežom uz pomoć učitelja.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Matematičke pojmove prikazuje crtežom i skupom djelomično točno, piktogramima ili tablicama samo uz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 i asistenciju učitelja.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Samostalno prikazuje iste matematičke pojmove na različite načine (crtež, skup, piktogram i jednostavna tablica) te ih koristi prilikom </w:t>
            </w: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samostalnog rješavanja zadataka.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DC4623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:rsidR="00801C72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801C72" w:rsidRPr="00823DBD" w:rsidTr="007431D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801C72" w:rsidRPr="00823DBD" w:rsidRDefault="00801C72" w:rsidP="007431D8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:rsidR="00801C72" w:rsidRPr="00AE70E6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801C72" w:rsidRPr="00F34E2A" w:rsidRDefault="00801C72" w:rsidP="007431D8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801C72" w:rsidRPr="00B4176C" w:rsidTr="007431D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801C72" w:rsidRPr="00B4176C" w:rsidRDefault="00801C72" w:rsidP="007431D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801C72" w:rsidRPr="001B1AA7" w:rsidRDefault="00801C72" w:rsidP="007431D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:rsidR="00801C72" w:rsidRPr="00F34E2A" w:rsidRDefault="00801C72" w:rsidP="007431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:rsidR="002D7EE7" w:rsidRDefault="002D7EE7"/>
    <w:p w:rsidR="002D7EE7" w:rsidRDefault="002D7EE7"/>
    <w:p w:rsidR="002D7EE7" w:rsidRDefault="002D7EE7"/>
    <w:p w:rsidR="00764E31" w:rsidRDefault="00764E31"/>
    <w:sectPr w:rsidR="00764E31" w:rsidSect="00CE3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8"/>
  </w:num>
  <w:num w:numId="4">
    <w:abstractNumId w:val="37"/>
  </w:num>
  <w:num w:numId="5">
    <w:abstractNumId w:val="19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9"/>
    <w:rsid w:val="0009352E"/>
    <w:rsid w:val="002D7EE7"/>
    <w:rsid w:val="004B566A"/>
    <w:rsid w:val="00764E31"/>
    <w:rsid w:val="00801C72"/>
    <w:rsid w:val="00B7778E"/>
    <w:rsid w:val="00C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E8A7"/>
  <w15:chartTrackingRefBased/>
  <w15:docId w15:val="{763FC2BB-EE2B-4876-BFEF-873E1F3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87">
    <w:name w:val="box_459587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E3DD9"/>
  </w:style>
  <w:style w:type="character" w:customStyle="1" w:styleId="eop">
    <w:name w:val="eop"/>
    <w:basedOn w:val="Zadanifontodlomka"/>
    <w:rsid w:val="00CE3DD9"/>
  </w:style>
  <w:style w:type="character" w:customStyle="1" w:styleId="bold">
    <w:name w:val="bold"/>
    <w:basedOn w:val="Zadanifontodlomka"/>
    <w:rsid w:val="00CE3DD9"/>
  </w:style>
  <w:style w:type="paragraph" w:customStyle="1" w:styleId="t-8">
    <w:name w:val="t-8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E3DD9"/>
  </w:style>
  <w:style w:type="paragraph" w:styleId="Odlomakpopisa">
    <w:name w:val="List Paragraph"/>
    <w:basedOn w:val="Normal"/>
    <w:uiPriority w:val="34"/>
    <w:qFormat/>
    <w:rsid w:val="00CE3DD9"/>
    <w:pPr>
      <w:ind w:left="720"/>
      <w:contextualSpacing/>
    </w:pPr>
  </w:style>
  <w:style w:type="paragraph" w:customStyle="1" w:styleId="box459469">
    <w:name w:val="box_459469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DD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CE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DD9"/>
  </w:style>
  <w:style w:type="paragraph" w:styleId="Podnoje">
    <w:name w:val="footer"/>
    <w:basedOn w:val="Normal"/>
    <w:link w:val="PodnojeChar"/>
    <w:uiPriority w:val="99"/>
    <w:unhideWhenUsed/>
    <w:rsid w:val="00CE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DD9"/>
  </w:style>
  <w:style w:type="paragraph" w:styleId="StandardWeb">
    <w:name w:val="Normal (Web)"/>
    <w:basedOn w:val="Normal"/>
    <w:unhideWhenUsed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CE3D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CE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B777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F968-BA3A-43DA-80DB-45DB5A96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Jerbić</dc:creator>
  <cp:keywords/>
  <dc:description/>
  <cp:lastModifiedBy>Dubravko Jerbić</cp:lastModifiedBy>
  <cp:revision>3</cp:revision>
  <dcterms:created xsi:type="dcterms:W3CDTF">2021-09-06T05:43:00Z</dcterms:created>
  <dcterms:modified xsi:type="dcterms:W3CDTF">2021-12-01T08:58:00Z</dcterms:modified>
</cp:coreProperties>
</file>